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480" w:line="312" w:lineRule="auto"/>
        <w:rPr>
          <w:rFonts w:ascii="Times New Roman" w:cs="Times New Roman" w:eastAsia="Times New Roman" w:hAnsi="Times New Roman"/>
          <w:color w:val="1c1c1c"/>
          <w:sz w:val="36"/>
          <w:szCs w:val="36"/>
        </w:rPr>
      </w:pPr>
      <w:bookmarkStart w:colFirst="0" w:colLast="0" w:name="_i0chcqty7l0u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c1c1c"/>
          <w:sz w:val="36"/>
          <w:szCs w:val="36"/>
          <w:rtl w:val="0"/>
        </w:rPr>
        <w:t xml:space="preserve">Biblioteche scolastiche Innovative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84.00000000000006" w:lineRule="auto"/>
        <w:jc w:val="both"/>
        <w:rPr>
          <w:color w:val="444444"/>
          <w:sz w:val="24"/>
          <w:szCs w:val="24"/>
        </w:rPr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Finanziato il progetto dell'I.C. "FABRIZIO DE ANDRE'"  Biblioteche innovative PNSD per la realizzazione di biblioteche scolastiche più moderne e con spazi di consultazione e formazione innovativi, aperti al territorio, anche fuori dall’orario scolastico, fruibili dalle studentesse e dagli studenti, dalle famiglie e dalla cittadinanza. Spazi che promuovano la lettura e l’educazione all’informazione, anche attraverso il prestito dei testi in formato digitale. Biblioteche dotate di abbonamenti on line a riviste e quotidiani e in sinergia con altre realtà del territorio di riferimento.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